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Processo: 59550.00</w:t>
      </w:r>
      <w:r w:rsidR="00F437AE">
        <w:rPr>
          <w:bCs/>
          <w:sz w:val="24"/>
        </w:rPr>
        <w:t>1068</w:t>
      </w:r>
      <w:r w:rsidRPr="000C4562">
        <w:rPr>
          <w:bCs/>
          <w:sz w:val="24"/>
        </w:rPr>
        <w:t>/2024-</w:t>
      </w:r>
      <w:r w:rsidR="00F437AE">
        <w:rPr>
          <w:bCs/>
          <w:sz w:val="24"/>
        </w:rPr>
        <w:t>16</w:t>
      </w:r>
      <w:r w:rsidRPr="000C4562">
        <w:rPr>
          <w:bCs/>
          <w:sz w:val="24"/>
        </w:rPr>
        <w:t>-e</w:t>
      </w:r>
    </w:p>
    <w:p w:rsidR="00FC4138" w:rsidRPr="000C4562" w:rsidRDefault="00FC4138" w:rsidP="00A21ACF">
      <w:pPr>
        <w:suppressAutoHyphens w:val="0"/>
        <w:rPr>
          <w:b/>
          <w:bCs/>
          <w:sz w:val="24"/>
        </w:rPr>
      </w:pPr>
    </w:p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Objeto: </w:t>
      </w:r>
      <w:r w:rsidR="00EF78B0" w:rsidRPr="00EF78B0">
        <w:rPr>
          <w:bCs/>
          <w:sz w:val="24"/>
        </w:rPr>
        <w:t xml:space="preserve">Contratação </w:t>
      </w:r>
      <w:r w:rsidR="00466F70" w:rsidRPr="00466F70">
        <w:rPr>
          <w:bCs/>
          <w:sz w:val="24"/>
        </w:rPr>
        <w:t>de obras e serviços de engenharia para pavimentação asfáltica da Rodovia Pedro Vicente, no município de Limoeiro de Anadia, no estado de Alagoas</w:t>
      </w:r>
      <w:r w:rsidR="00161E15" w:rsidRPr="00161E15">
        <w:rPr>
          <w:bCs/>
          <w:sz w:val="24"/>
        </w:rPr>
        <w:t>.</w:t>
      </w:r>
    </w:p>
    <w:p w:rsidR="00FC4138" w:rsidRPr="000C4562" w:rsidRDefault="00FC4138" w:rsidP="00A21ACF">
      <w:pPr>
        <w:suppressAutoHyphens w:val="0"/>
        <w:rPr>
          <w:bCs/>
          <w:sz w:val="24"/>
        </w:rPr>
      </w:pPr>
    </w:p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Valor Estimado: R$ </w:t>
      </w:r>
      <w:r w:rsidR="00466F70">
        <w:rPr>
          <w:bCs/>
          <w:sz w:val="24"/>
        </w:rPr>
        <w:t>1.600.021,38</w:t>
      </w:r>
      <w:bookmarkStart w:id="0" w:name="_GoBack"/>
      <w:bookmarkEnd w:id="0"/>
      <w:r w:rsidR="00FC4138" w:rsidRPr="000C4562">
        <w:rPr>
          <w:bCs/>
          <w:sz w:val="24"/>
        </w:rPr>
        <w:t>.</w:t>
      </w:r>
    </w:p>
    <w:p w:rsidR="00A21ACF" w:rsidRPr="000C4562" w:rsidRDefault="00A21ACF" w:rsidP="00A21ACF">
      <w:pPr>
        <w:suppressAutoHyphens w:val="0"/>
        <w:rPr>
          <w:b/>
          <w:bCs/>
          <w:sz w:val="24"/>
        </w:rPr>
      </w:pPr>
    </w:p>
    <w:p w:rsidR="00FC4138" w:rsidRPr="000C4562" w:rsidRDefault="00FC4138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Justificativas. </w:t>
      </w:r>
      <w:r w:rsidR="00396990" w:rsidRPr="000C4562">
        <w:rPr>
          <w:bCs/>
          <w:sz w:val="24"/>
        </w:rPr>
        <w:t xml:space="preserve">CF, Art. 37, XXI. Lei nº 13.303/2016, Art. 58, II. </w:t>
      </w:r>
      <w:r w:rsidRPr="000C4562">
        <w:rPr>
          <w:bCs/>
          <w:sz w:val="24"/>
        </w:rPr>
        <w:t>Súmula nº 289 - TCU</w:t>
      </w:r>
    </w:p>
    <w:p w:rsidR="00A21ACF" w:rsidRPr="000C4562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Cs/>
          <w:sz w:val="24"/>
        </w:rPr>
      </w:pPr>
      <w:r w:rsidRPr="000C4562">
        <w:rPr>
          <w:bCs/>
          <w:sz w:val="24"/>
        </w:rPr>
        <w:t>Capacidade Econômica e Financeira</w:t>
      </w:r>
    </w:p>
    <w:p w:rsidR="00A21ACF" w:rsidRPr="000C4562" w:rsidRDefault="00A21ACF" w:rsidP="00A21ACF">
      <w:pPr>
        <w:pStyle w:val="PargrafodaLista"/>
        <w:ind w:left="3474" w:hanging="3474"/>
        <w:rPr>
          <w:b/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>Capital Social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:rsidR="00A21ACF" w:rsidRPr="000C4562" w:rsidRDefault="00A21ACF" w:rsidP="00A21ACF">
      <w:pPr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 xml:space="preserve"> Índices econômicos.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A21ACF">
      <w:pPr>
        <w:spacing w:line="360" w:lineRule="auto"/>
        <w:rPr>
          <w:sz w:val="24"/>
        </w:rPr>
      </w:pPr>
      <w:r w:rsidRPr="000C4562">
        <w:rPr>
          <w:sz w:val="24"/>
        </w:rPr>
        <w:t xml:space="preserve"> </w:t>
      </w:r>
      <w:r w:rsidRPr="000C4562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 w:rsidRPr="000C4562">
        <w:rPr>
          <w:sz w:val="24"/>
        </w:rPr>
        <w:t xml:space="preserve">a </w:t>
      </w:r>
      <w:r w:rsidRPr="000C4562">
        <w:rPr>
          <w:sz w:val="24"/>
        </w:rPr>
        <w:t>capacidade econômica e financeira.</w:t>
      </w:r>
    </w:p>
    <w:p w:rsidR="00A21ACF" w:rsidRPr="000C4562" w:rsidRDefault="00A21ACF" w:rsidP="00396990">
      <w:pPr>
        <w:spacing w:line="360" w:lineRule="auto"/>
        <w:ind w:firstLine="708"/>
        <w:rPr>
          <w:sz w:val="24"/>
        </w:rPr>
      </w:pPr>
      <w:r w:rsidRPr="000C4562">
        <w:rPr>
          <w:sz w:val="24"/>
        </w:rPr>
        <w:lastRenderedPageBreak/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ind w:left="2268"/>
        <w:rPr>
          <w:sz w:val="24"/>
        </w:rPr>
      </w:pPr>
      <w:r w:rsidRPr="000C4562">
        <w:rPr>
          <w:sz w:val="24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É prerrogativa da administração, e via de regra,</w:t>
      </w:r>
      <w:r w:rsidR="00396990" w:rsidRPr="000C4562">
        <w:rPr>
          <w:sz w:val="24"/>
        </w:rPr>
        <w:t xml:space="preserve"> seu</w:t>
      </w:r>
      <w:r w:rsidRPr="000C4562">
        <w:rPr>
          <w:sz w:val="24"/>
        </w:rPr>
        <w:t xml:space="preserve"> dever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aferir objetivamente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 capacidade do futuro contratado, não para construir um muro inútil de restrições comprometedo</w:t>
      </w:r>
      <w:r w:rsidR="00396990" w:rsidRPr="000C4562">
        <w:rPr>
          <w:sz w:val="24"/>
        </w:rPr>
        <w:t>ras</w:t>
      </w:r>
      <w:r w:rsidRPr="000C4562">
        <w:rPr>
          <w:sz w:val="24"/>
        </w:rPr>
        <w:t xml:space="preserve"> </w:t>
      </w:r>
      <w:r w:rsidR="00396990" w:rsidRPr="000C4562">
        <w:rPr>
          <w:sz w:val="24"/>
        </w:rPr>
        <w:t>d</w:t>
      </w:r>
      <w:r w:rsidRPr="000C4562">
        <w:rPr>
          <w:sz w:val="24"/>
        </w:rPr>
        <w:t>o caráter competitivo da licitação, mas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para prevenir a adjudicação de objetos licitados a contratados sem condições de honrar os compromissos assumidos perante ela.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0C4562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0C4562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</w:t>
      </w:r>
      <w:r w:rsidRPr="000C4562">
        <w:rPr>
          <w:sz w:val="24"/>
        </w:rPr>
        <w:lastRenderedPageBreak/>
        <w:t>como é o caso do índice de solvência geral. O cociente de cada índice deve ser pelo menos um. O ideal é que seja superior a um, o que demonstra ter capacidade plena de cumprir os compromissos.</w:t>
      </w:r>
    </w:p>
    <w:p w:rsidR="00A21ACF" w:rsidRPr="000C4562" w:rsidRDefault="00A21ACF" w:rsidP="00A21ACF">
      <w:pPr>
        <w:spacing w:line="360" w:lineRule="auto"/>
        <w:rPr>
          <w:color w:val="538135"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0C4562">
        <w:rPr>
          <w:sz w:val="24"/>
        </w:rPr>
        <w:t>E</w:t>
      </w:r>
      <w:r w:rsidRPr="000C4562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Solvência Geral. É a capacidade de uma empresa de honrar todos os seus compromissos financeiros a curto e longo prazo</w:t>
      </w:r>
      <w:r w:rsidR="001D6AD7" w:rsidRPr="000C4562">
        <w:rPr>
          <w:sz w:val="24"/>
        </w:rPr>
        <w:t>.</w:t>
      </w:r>
      <w:r w:rsidRPr="000C4562">
        <w:rPr>
          <w:sz w:val="24"/>
        </w:rPr>
        <w:t xml:space="preserve"> </w:t>
      </w:r>
      <w:r w:rsidR="001D6AD7" w:rsidRPr="000C4562">
        <w:rPr>
          <w:sz w:val="24"/>
        </w:rPr>
        <w:t>I</w:t>
      </w:r>
      <w:r w:rsidRPr="000C4562">
        <w:rPr>
          <w:sz w:val="24"/>
        </w:rPr>
        <w:t xml:space="preserve">dentifica a segurança apresentada, para pagar todos </w:t>
      </w:r>
      <w:r w:rsidR="001D6AD7" w:rsidRPr="000C4562">
        <w:rPr>
          <w:sz w:val="24"/>
        </w:rPr>
        <w:t xml:space="preserve">os </w:t>
      </w:r>
      <w:r w:rsidRPr="000C4562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0C4562" w:rsidRDefault="00A21ACF" w:rsidP="00A21ACF">
      <w:pPr>
        <w:rPr>
          <w:color w:val="538135"/>
          <w:sz w:val="24"/>
        </w:rPr>
      </w:pP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As características peculiares ao objeto ora trata</w:t>
      </w:r>
      <w:r w:rsidR="000C4562" w:rsidRPr="000C4562">
        <w:rPr>
          <w:sz w:val="24"/>
        </w:rPr>
        <w:t>do</w:t>
      </w:r>
      <w:r w:rsidRPr="000C4562">
        <w:rPr>
          <w:sz w:val="24"/>
        </w:rPr>
        <w:t>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0C4562">
        <w:rPr>
          <w:sz w:val="24"/>
        </w:rPr>
        <w:t xml:space="preserve">do capital social no </w:t>
      </w:r>
      <w:r w:rsidR="001D6AD7" w:rsidRPr="000C4562">
        <w:rPr>
          <w:sz w:val="24"/>
        </w:rPr>
        <w:lastRenderedPageBreak/>
        <w:t>patamar posto</w:t>
      </w:r>
      <w:r w:rsidRPr="000C4562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554924" w:rsidRPr="000C4562" w:rsidRDefault="00554924" w:rsidP="00554924">
      <w:pPr>
        <w:rPr>
          <w:b/>
          <w:bCs/>
          <w:sz w:val="24"/>
          <w:u w:val="single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b/>
          <w:bCs/>
          <w:sz w:val="24"/>
          <w:u w:val="single"/>
        </w:rPr>
        <w:t>Intervalo mínimo entre lances:</w:t>
      </w:r>
      <w:r w:rsidRPr="000C4562">
        <w:rPr>
          <w:sz w:val="24"/>
        </w:rPr>
        <w:t xml:space="preserve">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3D41FE">
      <w:pPr>
        <w:spacing w:line="360" w:lineRule="auto"/>
        <w:rPr>
          <w:sz w:val="24"/>
        </w:rPr>
      </w:pPr>
      <w:r w:rsidRPr="000C4562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:rsidR="00554924" w:rsidRPr="000C4562" w:rsidRDefault="00554924" w:rsidP="003D41FE">
      <w:pPr>
        <w:spacing w:line="360" w:lineRule="auto"/>
        <w:rPr>
          <w:sz w:val="24"/>
        </w:rPr>
      </w:pPr>
    </w:p>
    <w:p w:rsidR="00554924" w:rsidRPr="000C4562" w:rsidRDefault="00554924" w:rsidP="003D41FE">
      <w:pPr>
        <w:spacing w:line="360" w:lineRule="auto"/>
        <w:rPr>
          <w:sz w:val="24"/>
        </w:rPr>
      </w:pPr>
      <w:r w:rsidRPr="000C4562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:rsidR="00554924" w:rsidRPr="000C4562" w:rsidRDefault="00554924" w:rsidP="003D41FE">
      <w:pPr>
        <w:spacing w:line="360" w:lineRule="auto"/>
        <w:rPr>
          <w:sz w:val="24"/>
        </w:rPr>
      </w:pPr>
    </w:p>
    <w:p w:rsidR="00554924" w:rsidRPr="000C4562" w:rsidRDefault="00554924" w:rsidP="003D41FE">
      <w:pPr>
        <w:spacing w:line="360" w:lineRule="auto"/>
        <w:rPr>
          <w:sz w:val="24"/>
        </w:rPr>
      </w:pPr>
      <w:r w:rsidRPr="000C4562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0C4562">
        <w:rPr>
          <w:sz w:val="24"/>
        </w:rPr>
        <w:t>/percentual</w:t>
      </w:r>
      <w:r w:rsidRPr="000C4562">
        <w:rPr>
          <w:sz w:val="24"/>
        </w:rPr>
        <w:t xml:space="preserve"> mínimo entre os lances, conforme grafado no edital, tomando em conta que a competição dar-se-á por unidade de serviço (valor global). Tal valor fora acordado e definido com equipe técnica em conjunto com a equipe da 5ª/SL, por entender ser capaz de alijar lançes com redução irrisória ou aviltante, bem como prevenir a inviabilidade, ou mesmo restrição, da competição entre os fornecedores.</w:t>
      </w:r>
    </w:p>
    <w:p w:rsidR="001D6AD7" w:rsidRPr="000C4562" w:rsidRDefault="001D6AD7" w:rsidP="003D41FE">
      <w:pPr>
        <w:spacing w:line="360" w:lineRule="auto"/>
        <w:ind w:firstLine="851"/>
        <w:rPr>
          <w:sz w:val="24"/>
        </w:rPr>
      </w:pPr>
    </w:p>
    <w:p w:rsidR="00DA545D" w:rsidRPr="000C4562" w:rsidRDefault="00DA545D" w:rsidP="003D41FE">
      <w:pPr>
        <w:spacing w:line="360" w:lineRule="auto"/>
        <w:ind w:firstLine="851"/>
        <w:rPr>
          <w:sz w:val="24"/>
        </w:rPr>
      </w:pPr>
    </w:p>
    <w:p w:rsidR="001D6AD7" w:rsidRPr="000C4562" w:rsidRDefault="001D6AD7" w:rsidP="003D41FE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Manoel da Costa Santos</w:t>
      </w:r>
    </w:p>
    <w:p w:rsidR="001D6AD7" w:rsidRPr="000C4562" w:rsidRDefault="001D6AD7" w:rsidP="003D41FE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Chefe da SL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</w:p>
    <w:p w:rsidR="00A026A4" w:rsidRPr="000C4562" w:rsidRDefault="00A026A4">
      <w:pPr>
        <w:rPr>
          <w:sz w:val="24"/>
        </w:rPr>
      </w:pPr>
    </w:p>
    <w:sectPr w:rsidR="00A026A4" w:rsidRPr="000C45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154" w:rsidRDefault="00572154" w:rsidP="00A21ACF">
      <w:r>
        <w:separator/>
      </w:r>
    </w:p>
  </w:endnote>
  <w:endnote w:type="continuationSeparator" w:id="0">
    <w:p w:rsidR="00572154" w:rsidRDefault="00572154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154" w:rsidRDefault="00572154" w:rsidP="00A21ACF">
      <w:r>
        <w:separator/>
      </w:r>
    </w:p>
  </w:footnote>
  <w:footnote w:type="continuationSeparator" w:id="0">
    <w:p w:rsidR="00572154" w:rsidRDefault="00572154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5ª Superintendência Regional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47BC5"/>
    <w:rsid w:val="000C4562"/>
    <w:rsid w:val="00161E15"/>
    <w:rsid w:val="001A3431"/>
    <w:rsid w:val="001D6AD7"/>
    <w:rsid w:val="003469D2"/>
    <w:rsid w:val="00396990"/>
    <w:rsid w:val="003D41FE"/>
    <w:rsid w:val="004162FA"/>
    <w:rsid w:val="0044542F"/>
    <w:rsid w:val="00466F70"/>
    <w:rsid w:val="004746FC"/>
    <w:rsid w:val="00554924"/>
    <w:rsid w:val="00572154"/>
    <w:rsid w:val="006921F3"/>
    <w:rsid w:val="00836D97"/>
    <w:rsid w:val="00856C16"/>
    <w:rsid w:val="008C7211"/>
    <w:rsid w:val="00A026A4"/>
    <w:rsid w:val="00A21ACF"/>
    <w:rsid w:val="00AE798C"/>
    <w:rsid w:val="00B43C90"/>
    <w:rsid w:val="00DA545D"/>
    <w:rsid w:val="00DD43A5"/>
    <w:rsid w:val="00EF78B0"/>
    <w:rsid w:val="00F437AE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1172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17</cp:revision>
  <cp:lastPrinted>2024-10-21T13:23:00Z</cp:lastPrinted>
  <dcterms:created xsi:type="dcterms:W3CDTF">2024-07-26T10:41:00Z</dcterms:created>
  <dcterms:modified xsi:type="dcterms:W3CDTF">2025-04-16T10:52:00Z</dcterms:modified>
</cp:coreProperties>
</file>